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E5F" w14:textId="5D2813FA" w:rsidR="00C65BCA" w:rsidRDefault="00B7092B" w:rsidP="00C65BCA">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1E5E0656" w:rsidR="00B7092B" w:rsidRDefault="00B7092B" w:rsidP="00B7092B">
      <w:pPr>
        <w:jc w:val="center"/>
      </w:pPr>
      <w:r>
        <w:t>&amp;</w:t>
      </w:r>
    </w:p>
    <w:p w14:paraId="4A802091" w14:textId="0AFD1A92" w:rsidR="00B7092B" w:rsidRDefault="00C65BCA" w:rsidP="00B7092B">
      <w:pPr>
        <w:jc w:val="center"/>
      </w:pPr>
      <w:r>
        <w:rPr>
          <w:noProof/>
        </w:rPr>
        <w:drawing>
          <wp:inline distT="0" distB="0" distL="0" distR="0" wp14:anchorId="2AF11A13" wp14:editId="7E8205DE">
            <wp:extent cx="2943225" cy="658468"/>
            <wp:effectExtent l="0" t="0" r="0" b="8890"/>
            <wp:docPr id="2" name="Picture 2" descr="A yellow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r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201" cy="663832"/>
                    </a:xfrm>
                    <a:prstGeom prst="rect">
                      <a:avLst/>
                    </a:prstGeom>
                    <a:noFill/>
                  </pic:spPr>
                </pic:pic>
              </a:graphicData>
            </a:graphic>
          </wp:inline>
        </w:drawing>
      </w:r>
      <w:r w:rsidR="00B7092B">
        <w:br/>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C65BCA" w:rsidRDefault="00B7092B" w:rsidP="00B7092B">
      <w:pPr>
        <w:jc w:val="center"/>
        <w:rPr>
          <w:sz w:val="44"/>
          <w:szCs w:val="44"/>
        </w:rPr>
      </w:pPr>
      <w:r w:rsidRPr="00C65BCA">
        <w:rPr>
          <w:sz w:val="44"/>
          <w:szCs w:val="44"/>
        </w:rPr>
        <w:t>Present</w:t>
      </w:r>
    </w:p>
    <w:p w14:paraId="6146CEAC" w14:textId="486E52C3" w:rsidR="00B7092B" w:rsidRPr="00C65BCA" w:rsidRDefault="00B7092B" w:rsidP="00B7092B">
      <w:pPr>
        <w:jc w:val="center"/>
        <w:rPr>
          <w:sz w:val="44"/>
          <w:szCs w:val="44"/>
        </w:rPr>
      </w:pPr>
      <w:r w:rsidRPr="00C65BCA">
        <w:rPr>
          <w:sz w:val="44"/>
          <w:szCs w:val="44"/>
        </w:rPr>
        <w:t>The 202</w:t>
      </w:r>
      <w:r w:rsidR="00B54581" w:rsidRPr="00C65BCA">
        <w:rPr>
          <w:sz w:val="44"/>
          <w:szCs w:val="44"/>
        </w:rPr>
        <w:t>4</w:t>
      </w:r>
      <w:r w:rsidRPr="00C65BCA">
        <w:rPr>
          <w:sz w:val="44"/>
          <w:szCs w:val="44"/>
        </w:rPr>
        <w:t xml:space="preserve"> AmCham-DHL Express Success </w:t>
      </w:r>
      <w:r w:rsidRPr="00C65BCA">
        <w:rPr>
          <w:sz w:val="44"/>
          <w:szCs w:val="44"/>
        </w:rPr>
        <w:br/>
        <w:t>&amp; Innovation Awards</w:t>
      </w:r>
    </w:p>
    <w:p w14:paraId="6DD38A9C" w14:textId="77302867" w:rsidR="00B7092B" w:rsidRDefault="00B7092B" w:rsidP="00B7092B">
      <w:pPr>
        <w:jc w:val="center"/>
        <w:rPr>
          <w:sz w:val="28"/>
          <w:szCs w:val="28"/>
        </w:rPr>
      </w:pPr>
      <w:r w:rsidRPr="00B7092B">
        <w:rPr>
          <w:sz w:val="28"/>
          <w:szCs w:val="28"/>
        </w:rPr>
        <w:t>Silver sponsors</w:t>
      </w:r>
    </w:p>
    <w:p w14:paraId="05526C11" w14:textId="525D9DA8" w:rsidR="00B7092B" w:rsidRDefault="00C65BCA" w:rsidP="00B7092B">
      <w:pPr>
        <w:jc w:val="center"/>
        <w:rPr>
          <w:sz w:val="28"/>
          <w:szCs w:val="28"/>
        </w:rPr>
      </w:pPr>
      <w:r>
        <w:rPr>
          <w:noProof/>
          <w:sz w:val="28"/>
          <w:szCs w:val="28"/>
        </w:rPr>
        <w:drawing>
          <wp:anchor distT="0" distB="0" distL="114300" distR="114300" simplePos="0" relativeHeight="251658240" behindDoc="0" locked="0" layoutInCell="1" allowOverlap="1" wp14:anchorId="774A6C36" wp14:editId="6B3A2153">
            <wp:simplePos x="0" y="0"/>
            <wp:positionH relativeFrom="margin">
              <wp:posOffset>417830</wp:posOffset>
            </wp:positionH>
            <wp:positionV relativeFrom="paragraph">
              <wp:posOffset>88900</wp:posOffset>
            </wp:positionV>
            <wp:extent cx="2314575" cy="962025"/>
            <wp:effectExtent l="0" t="0" r="9525" b="9525"/>
            <wp:wrapNone/>
            <wp:docPr id="23799533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95336"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14:anchorId="0DCD073B" wp14:editId="10698D5B">
            <wp:simplePos x="0" y="0"/>
            <wp:positionH relativeFrom="column">
              <wp:posOffset>3314700</wp:posOffset>
            </wp:positionH>
            <wp:positionV relativeFrom="paragraph">
              <wp:posOffset>146050</wp:posOffset>
            </wp:positionV>
            <wp:extent cx="2139375" cy="6915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75" cy="691515"/>
                    </a:xfrm>
                    <a:prstGeom prst="rect">
                      <a:avLst/>
                    </a:prstGeom>
                  </pic:spPr>
                </pic:pic>
              </a:graphicData>
            </a:graphic>
          </wp:anchor>
        </w:drawing>
      </w:r>
    </w:p>
    <w:p w14:paraId="73A247BE" w14:textId="615F45E0" w:rsidR="00B7092B" w:rsidRDefault="00B7092B" w:rsidP="00B7092B">
      <w:pPr>
        <w:jc w:val="center"/>
        <w:rPr>
          <w:sz w:val="28"/>
          <w:szCs w:val="28"/>
        </w:rPr>
      </w:pPr>
    </w:p>
    <w:p w14:paraId="57F4E612" w14:textId="5BB74B35" w:rsidR="005F61F1" w:rsidRDefault="00C65BCA" w:rsidP="00B7092B">
      <w:pPr>
        <w:jc w:val="center"/>
        <w:rPr>
          <w:sz w:val="28"/>
          <w:szCs w:val="28"/>
        </w:rPr>
      </w:pPr>
      <w:r>
        <w:rPr>
          <w:noProof/>
          <w:sz w:val="28"/>
          <w:szCs w:val="28"/>
        </w:rPr>
        <w:drawing>
          <wp:anchor distT="0" distB="0" distL="114300" distR="114300" simplePos="0" relativeHeight="251663360" behindDoc="1" locked="0" layoutInCell="1" allowOverlap="1" wp14:anchorId="08824F55" wp14:editId="0C607376">
            <wp:simplePos x="0" y="0"/>
            <wp:positionH relativeFrom="margin">
              <wp:posOffset>3021098</wp:posOffset>
            </wp:positionH>
            <wp:positionV relativeFrom="paragraph">
              <wp:posOffset>302895</wp:posOffset>
            </wp:positionV>
            <wp:extent cx="2847975" cy="1491826"/>
            <wp:effectExtent l="0" t="0" r="0" b="0"/>
            <wp:wrapNone/>
            <wp:docPr id="717275437" name="Picture 2" descr="A blue and yellow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75437" name="Picture 2" descr="A blue and yellow text on a black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491826"/>
                    </a:xfrm>
                    <a:prstGeom prst="rect">
                      <a:avLst/>
                    </a:prstGeom>
                  </pic:spPr>
                </pic:pic>
              </a:graphicData>
            </a:graphic>
          </wp:anchor>
        </w:drawing>
      </w:r>
      <w:r>
        <w:rPr>
          <w:noProof/>
          <w:sz w:val="28"/>
          <w:szCs w:val="28"/>
        </w:rPr>
        <w:drawing>
          <wp:anchor distT="0" distB="0" distL="114300" distR="114300" simplePos="0" relativeHeight="251661312" behindDoc="1" locked="0" layoutInCell="1" allowOverlap="1" wp14:anchorId="643F3BA7" wp14:editId="5671EB3A">
            <wp:simplePos x="0" y="0"/>
            <wp:positionH relativeFrom="margin">
              <wp:posOffset>-609600</wp:posOffset>
            </wp:positionH>
            <wp:positionV relativeFrom="paragraph">
              <wp:posOffset>426720</wp:posOffset>
            </wp:positionV>
            <wp:extent cx="3847465" cy="9715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anchor>
        </w:drawing>
      </w:r>
    </w:p>
    <w:p w14:paraId="4561BFA5" w14:textId="011CE545" w:rsidR="00C65BCA" w:rsidRDefault="00C65BCA" w:rsidP="00B7092B">
      <w:pPr>
        <w:rPr>
          <w:rFonts w:cstheme="minorHAnsi"/>
          <w:b/>
          <w:bCs/>
          <w:sz w:val="20"/>
          <w:szCs w:val="20"/>
        </w:rPr>
      </w:pPr>
    </w:p>
    <w:p w14:paraId="318A5B23" w14:textId="652915E0" w:rsidR="00C65BCA" w:rsidRDefault="00C65BCA" w:rsidP="00B7092B">
      <w:pPr>
        <w:rPr>
          <w:rFonts w:cstheme="minorHAnsi"/>
          <w:b/>
          <w:bCs/>
          <w:sz w:val="20"/>
          <w:szCs w:val="20"/>
        </w:rPr>
      </w:pPr>
    </w:p>
    <w:p w14:paraId="10434231" w14:textId="28C2FED7" w:rsidR="00C65BCA" w:rsidRDefault="00C65BCA" w:rsidP="00B7092B">
      <w:pPr>
        <w:rPr>
          <w:rFonts w:cstheme="minorHAnsi"/>
          <w:b/>
          <w:bCs/>
          <w:sz w:val="20"/>
          <w:szCs w:val="20"/>
        </w:rPr>
      </w:pPr>
    </w:p>
    <w:p w14:paraId="1716F49F" w14:textId="147A3D0B" w:rsidR="00C65BCA" w:rsidRDefault="00C65BCA" w:rsidP="00B7092B">
      <w:pPr>
        <w:rPr>
          <w:rFonts w:cstheme="minorHAnsi"/>
          <w:b/>
          <w:bCs/>
          <w:sz w:val="20"/>
          <w:szCs w:val="20"/>
        </w:rPr>
      </w:pPr>
    </w:p>
    <w:p w14:paraId="038009F9" w14:textId="66E67886" w:rsidR="00C65BCA" w:rsidRDefault="00C65BCA" w:rsidP="00B7092B">
      <w:pPr>
        <w:rPr>
          <w:rFonts w:cstheme="minorHAnsi"/>
          <w:b/>
          <w:bCs/>
          <w:sz w:val="20"/>
          <w:szCs w:val="20"/>
        </w:rPr>
      </w:pPr>
      <w:r>
        <w:rPr>
          <w:noProof/>
          <w:sz w:val="28"/>
          <w:szCs w:val="28"/>
        </w:rPr>
        <w:drawing>
          <wp:anchor distT="0" distB="0" distL="114300" distR="114300" simplePos="0" relativeHeight="251660288" behindDoc="1" locked="0" layoutInCell="1" allowOverlap="1" wp14:anchorId="0A207770" wp14:editId="66C2EECD">
            <wp:simplePos x="0" y="0"/>
            <wp:positionH relativeFrom="margin">
              <wp:posOffset>3209925</wp:posOffset>
            </wp:positionH>
            <wp:positionV relativeFrom="paragraph">
              <wp:posOffset>339725</wp:posOffset>
            </wp:positionV>
            <wp:extent cx="2575560" cy="971550"/>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anchor>
        </w:drawing>
      </w:r>
      <w:r>
        <w:rPr>
          <w:noProof/>
          <w:sz w:val="28"/>
          <w:szCs w:val="28"/>
        </w:rPr>
        <w:drawing>
          <wp:anchor distT="0" distB="0" distL="114300" distR="114300" simplePos="0" relativeHeight="251662336" behindDoc="0" locked="0" layoutInCell="1" allowOverlap="1" wp14:anchorId="159AAE3C" wp14:editId="002C4CAF">
            <wp:simplePos x="0" y="0"/>
            <wp:positionH relativeFrom="margin">
              <wp:posOffset>-276225</wp:posOffset>
            </wp:positionH>
            <wp:positionV relativeFrom="paragraph">
              <wp:posOffset>549275</wp:posOffset>
            </wp:positionV>
            <wp:extent cx="2908300" cy="419100"/>
            <wp:effectExtent l="0" t="0" r="6350" b="0"/>
            <wp:wrapNone/>
            <wp:docPr id="8" name="Picture 8"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text on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0" cy="419100"/>
                    </a:xfrm>
                    <a:prstGeom prst="rect">
                      <a:avLst/>
                    </a:prstGeom>
                    <a:noFill/>
                  </pic:spPr>
                </pic:pic>
              </a:graphicData>
            </a:graphic>
          </wp:anchor>
        </w:drawing>
      </w:r>
    </w:p>
    <w:p w14:paraId="44604B82" w14:textId="66B33188"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385204BA"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B54581">
        <w:rPr>
          <w:rFonts w:cstheme="minorHAnsi"/>
          <w:sz w:val="20"/>
          <w:szCs w:val="20"/>
        </w:rPr>
        <w:t>4</w:t>
      </w:r>
      <w:r w:rsidR="00EF7454">
        <w:rPr>
          <w:rFonts w:cstheme="minorHAnsi"/>
          <w:sz w:val="20"/>
          <w:szCs w:val="20"/>
        </w:rPr>
        <w:t xml:space="preserve">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47B09B" w:rsidR="00B7092B" w:rsidRPr="00606C17" w:rsidRDefault="00606C17" w:rsidP="00606C17">
      <w:pPr>
        <w:rPr>
          <w:rFonts w:cstheme="minorHAnsi"/>
          <w:b/>
          <w:bCs/>
          <w:sz w:val="20"/>
          <w:szCs w:val="20"/>
        </w:rPr>
      </w:pPr>
      <w:r w:rsidRPr="00606C17">
        <w:rPr>
          <w:rFonts w:cstheme="minorHAnsi"/>
          <w:b/>
          <w:bCs/>
          <w:sz w:val="20"/>
          <w:szCs w:val="20"/>
        </w:rPr>
        <w:t xml:space="preserve">3 Exporter of the Year to the USA awards. </w:t>
      </w:r>
      <w:r w:rsidR="00122D59">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r>
      <w:r w:rsidR="00EF7454" w:rsidRPr="00606C17">
        <w:rPr>
          <w:rFonts w:cstheme="minorHAnsi"/>
          <w:b/>
          <w:bCs/>
          <w:sz w:val="20"/>
          <w:szCs w:val="20"/>
        </w:rPr>
        <w:t>The winner</w:t>
      </w:r>
      <w:r w:rsidRPr="00606C17">
        <w:rPr>
          <w:rFonts w:cstheme="minorHAnsi"/>
          <w:b/>
          <w:bCs/>
          <w:sz w:val="20"/>
          <w:szCs w:val="20"/>
        </w:rPr>
        <w:t>s</w:t>
      </w:r>
      <w:r w:rsidR="00EF7454" w:rsidRPr="00606C17">
        <w:rPr>
          <w:rFonts w:cstheme="minorHAnsi"/>
          <w:b/>
          <w:bCs/>
          <w:sz w:val="20"/>
          <w:szCs w:val="20"/>
        </w:rPr>
        <w:t xml:space="preserve"> receive an Economy Plus® Round Trip Ticket to the USA from United Airlines</w:t>
      </w:r>
      <w:r w:rsidRPr="00606C17">
        <w:rPr>
          <w:rFonts w:cstheme="minorHAnsi"/>
          <w:b/>
          <w:bCs/>
          <w:sz w:val="20"/>
          <w:szCs w:val="20"/>
        </w:rPr>
        <w:br/>
      </w:r>
    </w:p>
    <w:p w14:paraId="0B7989C3" w14:textId="77777777" w:rsidR="00606C17" w:rsidRPr="00606C17" w:rsidRDefault="00B7092B" w:rsidP="00606C17">
      <w:pPr>
        <w:rPr>
          <w:rFonts w:cstheme="minorHAnsi"/>
          <w:b/>
          <w:bCs/>
          <w:sz w:val="20"/>
          <w:szCs w:val="20"/>
        </w:rPr>
      </w:pPr>
      <w:r w:rsidRPr="00606C17">
        <w:rPr>
          <w:rFonts w:cstheme="minorHAnsi"/>
          <w:b/>
          <w:bCs/>
          <w:sz w:val="20"/>
          <w:szCs w:val="20"/>
        </w:rPr>
        <w:t>B</w:t>
      </w:r>
      <w:r w:rsidR="00B03D40" w:rsidRPr="00606C17">
        <w:rPr>
          <w:rFonts w:cstheme="minorHAnsi"/>
          <w:b/>
          <w:bCs/>
          <w:sz w:val="20"/>
          <w:szCs w:val="20"/>
        </w:rPr>
        <w:t xml:space="preserve">ilateral Connections </w:t>
      </w:r>
      <w:r w:rsidRPr="00606C17">
        <w:rPr>
          <w:rFonts w:cstheme="minorHAnsi"/>
          <w:b/>
          <w:bCs/>
          <w:sz w:val="20"/>
          <w:szCs w:val="20"/>
        </w:rPr>
        <w:t>A</w:t>
      </w:r>
      <w:r w:rsidR="00B03D40" w:rsidRPr="00606C17">
        <w:rPr>
          <w:rFonts w:cstheme="minorHAnsi"/>
          <w:b/>
          <w:bCs/>
          <w:sz w:val="20"/>
          <w:szCs w:val="20"/>
        </w:rPr>
        <w:t>ward</w:t>
      </w:r>
      <w:r w:rsidR="00B03D40"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sidR="00EF7454" w:rsidRPr="00606C17">
        <w:rPr>
          <w:rFonts w:cstheme="minorHAnsi"/>
          <w:sz w:val="20"/>
          <w:szCs w:val="20"/>
        </w:rPr>
        <w:t>,</w:t>
      </w:r>
      <w:r w:rsidRPr="00606C17">
        <w:rPr>
          <w:rFonts w:cstheme="minorHAnsi"/>
          <w:sz w:val="20"/>
          <w:szCs w:val="20"/>
        </w:rPr>
        <w:t xml:space="preserve"> and other sectors.</w:t>
      </w:r>
      <w:r w:rsidRPr="00606C17">
        <w:rPr>
          <w:rFonts w:cstheme="minorHAnsi"/>
          <w:b/>
          <w:bCs/>
          <w:sz w:val="20"/>
          <w:szCs w:val="20"/>
        </w:rPr>
        <w:t xml:space="preserve"> </w:t>
      </w:r>
      <w:r w:rsidR="00EF7454" w:rsidRPr="00606C17">
        <w:rPr>
          <w:rFonts w:cstheme="minorHAnsi"/>
          <w:b/>
          <w:bCs/>
          <w:sz w:val="20"/>
          <w:szCs w:val="20"/>
        </w:rPr>
        <w:br/>
        <w:t>The winner receives an Economy Plus® Round Trip Ticket to the USA from United Airlines</w:t>
      </w:r>
    </w:p>
    <w:p w14:paraId="3C773063" w14:textId="5E9FA57F" w:rsidR="00B03D40" w:rsidRPr="00606C17" w:rsidRDefault="00606C17" w:rsidP="00606C17">
      <w:pPr>
        <w:rPr>
          <w:rFonts w:cstheme="minorHAnsi"/>
          <w:b/>
          <w:bCs/>
          <w:sz w:val="20"/>
          <w:szCs w:val="20"/>
        </w:rPr>
      </w:pPr>
      <w:r>
        <w:rPr>
          <w:rFonts w:cstheme="minorHAnsi"/>
          <w:b/>
          <w:bCs/>
          <w:sz w:val="20"/>
          <w:szCs w:val="20"/>
        </w:rPr>
        <w:t>I</w:t>
      </w:r>
      <w:r w:rsidR="00B03D40" w:rsidRPr="00606C17">
        <w:rPr>
          <w:rFonts w:cstheme="minorHAnsi"/>
          <w:b/>
          <w:bCs/>
          <w:sz w:val="20"/>
          <w:szCs w:val="20"/>
        </w:rPr>
        <w:t xml:space="preserve">nvestor of the Year to or from the </w:t>
      </w:r>
      <w:r w:rsidR="00B7092B" w:rsidRPr="00606C17">
        <w:rPr>
          <w:rFonts w:cstheme="minorHAnsi"/>
          <w:b/>
          <w:bCs/>
          <w:sz w:val="20"/>
          <w:szCs w:val="20"/>
        </w:rPr>
        <w:t>USA</w:t>
      </w:r>
      <w:r w:rsidR="00122D59">
        <w:rPr>
          <w:rFonts w:cstheme="minorHAnsi"/>
          <w:b/>
          <w:bCs/>
          <w:sz w:val="20"/>
          <w:szCs w:val="20"/>
        </w:rPr>
        <w:br/>
      </w:r>
      <w:r w:rsidR="00122D59" w:rsidRPr="00122D59">
        <w:rPr>
          <w:rFonts w:cstheme="minorHAnsi"/>
          <w:b/>
          <w:bCs/>
          <w:sz w:val="20"/>
          <w:szCs w:val="20"/>
        </w:rPr>
        <w:t>The winner receive</w:t>
      </w:r>
      <w:r w:rsidR="00964E25">
        <w:rPr>
          <w:rFonts w:cstheme="minorHAnsi"/>
          <w:b/>
          <w:bCs/>
          <w:sz w:val="20"/>
          <w:szCs w:val="20"/>
        </w:rPr>
        <w:t>s</w:t>
      </w:r>
      <w:r w:rsidR="00122D59" w:rsidRPr="00122D59">
        <w:rPr>
          <w:rFonts w:cstheme="minorHAnsi"/>
          <w:b/>
          <w:bCs/>
          <w:sz w:val="20"/>
          <w:szCs w:val="20"/>
        </w:rPr>
        <w:t xml:space="preserve"> an Economy Plus® Round Trip Ticket to the USA from United Airlines</w:t>
      </w:r>
      <w:r w:rsidR="001664DB" w:rsidRPr="00606C17">
        <w:rPr>
          <w:rFonts w:cstheme="minorHAnsi"/>
          <w:b/>
          <w:bCs/>
          <w:sz w:val="20"/>
          <w:szCs w:val="20"/>
        </w:rPr>
        <w:br/>
      </w:r>
      <w:r w:rsidR="00B03D40" w:rsidRPr="00606C17">
        <w:rPr>
          <w:rFonts w:cstheme="minorHAnsi"/>
          <w:b/>
          <w:bCs/>
          <w:sz w:val="20"/>
          <w:szCs w:val="20"/>
        </w:rPr>
        <w:br/>
      </w:r>
      <w:r w:rsidRPr="00606C17">
        <w:rPr>
          <w:rFonts w:cstheme="minorHAnsi"/>
          <w:b/>
          <w:bCs/>
          <w:sz w:val="20"/>
          <w:szCs w:val="20"/>
        </w:rPr>
        <w:t>Contribution to Tourism with the USA</w:t>
      </w:r>
      <w:r w:rsidR="00122D59">
        <w:rPr>
          <w:rFonts w:cstheme="minorHAnsi"/>
          <w:b/>
          <w:bCs/>
          <w:sz w:val="20"/>
          <w:szCs w:val="20"/>
        </w:rPr>
        <w:br/>
      </w:r>
      <w:r w:rsidR="00122D59" w:rsidRPr="00122D59">
        <w:rPr>
          <w:rFonts w:cstheme="minorHAnsi"/>
          <w:b/>
          <w:bCs/>
          <w:sz w:val="20"/>
          <w:szCs w:val="20"/>
        </w:rPr>
        <w:t>The winner receive</w:t>
      </w:r>
      <w:r w:rsidR="00964E25">
        <w:rPr>
          <w:rFonts w:cstheme="minorHAnsi"/>
          <w:b/>
          <w:bCs/>
          <w:sz w:val="20"/>
          <w:szCs w:val="20"/>
        </w:rPr>
        <w:t>s</w:t>
      </w:r>
      <w:r w:rsidR="00122D59" w:rsidRPr="00122D59">
        <w:rPr>
          <w:rFonts w:cstheme="minorHAnsi"/>
          <w:b/>
          <w:bCs/>
          <w:sz w:val="20"/>
          <w:szCs w:val="20"/>
        </w:rPr>
        <w:t xml:space="preserve"> an Economy Plus® Round Trip Ticket to the USA from United Airlines</w:t>
      </w:r>
    </w:p>
    <w:p w14:paraId="629E70CF" w14:textId="4E43F979" w:rsidR="00B7092B" w:rsidRPr="00B7092B" w:rsidRDefault="00606C17" w:rsidP="00B7092B">
      <w:pPr>
        <w:rPr>
          <w:rFonts w:cstheme="minorHAnsi"/>
          <w:b/>
          <w:bCs/>
          <w:sz w:val="20"/>
          <w:szCs w:val="20"/>
        </w:rPr>
      </w:pPr>
      <w:r w:rsidRPr="00606C17">
        <w:rPr>
          <w:rFonts w:cstheme="minorHAnsi"/>
          <w:b/>
          <w:bCs/>
          <w:sz w:val="20"/>
          <w:szCs w:val="20"/>
        </w:rPr>
        <w:t>As Sustainability and Climate Change are such an important issue</w:t>
      </w:r>
      <w:r w:rsidR="00122D59">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bookmarkStart w:id="0" w:name="_Hlk162078581"/>
      <w:bookmarkStart w:id="1" w:name="_Hlk162078379"/>
      <w:r w:rsidR="00B7092B" w:rsidRPr="00B7092B">
        <w:rPr>
          <w:rFonts w:cstheme="minorHAnsi"/>
          <w:b/>
          <w:bCs/>
          <w:sz w:val="20"/>
          <w:szCs w:val="20"/>
        </w:rPr>
        <w:t>One of the above winners will be selected to be the overall Supreme Award Winner.</w:t>
      </w:r>
      <w:r w:rsidR="005F61F1">
        <w:rPr>
          <w:rFonts w:cstheme="minorHAnsi"/>
          <w:b/>
          <w:bCs/>
          <w:sz w:val="20"/>
          <w:szCs w:val="20"/>
        </w:rPr>
        <w:t xml:space="preserve"> The Supreme winner </w:t>
      </w:r>
      <w:r w:rsidR="00964E25">
        <w:rPr>
          <w:rFonts w:cstheme="minorHAnsi"/>
          <w:b/>
          <w:bCs/>
          <w:sz w:val="20"/>
          <w:szCs w:val="20"/>
        </w:rPr>
        <w:t>receive US$5,000 of advisory services from Sweeney Vesty USA, as well as</w:t>
      </w:r>
      <w:r w:rsidR="005F61F1">
        <w:rPr>
          <w:rFonts w:cstheme="minorHAnsi"/>
          <w:b/>
          <w:bCs/>
          <w:sz w:val="20"/>
          <w:szCs w:val="20"/>
        </w:rPr>
        <w:t xml:space="preserve"> introductions to VC’s, State economic development agencies, and other key business contacts in the USA.  </w:t>
      </w:r>
    </w:p>
    <w:p w14:paraId="7719A2AD" w14:textId="23E67FD4" w:rsidR="00B7092B" w:rsidRPr="00B7092B" w:rsidRDefault="00B7092B" w:rsidP="00B7092B">
      <w:pPr>
        <w:rPr>
          <w:rFonts w:cstheme="minorHAnsi"/>
          <w:b/>
          <w:bCs/>
          <w:sz w:val="20"/>
          <w:szCs w:val="20"/>
        </w:rPr>
      </w:pPr>
      <w:r w:rsidRPr="00B7092B">
        <w:rPr>
          <w:rFonts w:cstheme="minorHAnsi"/>
          <w:b/>
          <w:bCs/>
          <w:sz w:val="20"/>
          <w:szCs w:val="20"/>
        </w:rPr>
        <w:t>A</w:t>
      </w:r>
      <w:r w:rsidR="00606C17">
        <w:rPr>
          <w:rFonts w:cstheme="minorHAnsi"/>
          <w:b/>
          <w:bCs/>
          <w:sz w:val="20"/>
          <w:szCs w:val="20"/>
        </w:rPr>
        <w:t>mCham Support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21BDF8DE" w:rsidR="00B7092B" w:rsidRPr="006B671E" w:rsidRDefault="00B7092B" w:rsidP="00B7092B">
      <w:pPr>
        <w:rPr>
          <w:rFonts w:cstheme="minorHAnsi"/>
          <w:bCs/>
          <w:sz w:val="24"/>
          <w:szCs w:val="24"/>
        </w:rPr>
      </w:pPr>
      <w:r w:rsidRPr="006B671E">
        <w:rPr>
          <w:bCs/>
          <w:snapToGrid w:val="0"/>
          <w:sz w:val="20"/>
          <w:lang w:val="en-US"/>
        </w:rPr>
        <w:t xml:space="preserve">BRIDGET COATES, Chair, </w:t>
      </w:r>
      <w:r w:rsidR="00606C17" w:rsidRPr="00606C17">
        <w:rPr>
          <w:bCs/>
          <w:snapToGrid w:val="0"/>
          <w:sz w:val="20"/>
          <w:lang w:val="en-US"/>
        </w:rPr>
        <w:t>Centre for Sustainable Finance</w:t>
      </w:r>
      <w:r w:rsidRPr="006B671E">
        <w:rPr>
          <w:bCs/>
          <w:snapToGrid w:val="0"/>
          <w:sz w:val="20"/>
          <w:lang w:val="en-US"/>
        </w:rPr>
        <w:br/>
      </w:r>
      <w:r w:rsidR="00606C17">
        <w:rPr>
          <w:bCs/>
          <w:snapToGrid w:val="0"/>
          <w:sz w:val="20"/>
          <w:lang w:val="en-US"/>
        </w:rPr>
        <w:t>GARETH COLEMAN</w:t>
      </w:r>
      <w:r w:rsidRPr="006B671E">
        <w:rPr>
          <w:bCs/>
          <w:snapToGrid w:val="0"/>
          <w:sz w:val="20"/>
          <w:lang w:val="en-US"/>
        </w:rPr>
        <w:t>, Head of Tr</w:t>
      </w:r>
      <w:r w:rsidR="00606C17">
        <w:rPr>
          <w:bCs/>
          <w:snapToGrid w:val="0"/>
          <w:sz w:val="20"/>
          <w:lang w:val="en-US"/>
        </w:rPr>
        <w:t>ade &amp; Supply Chain</w:t>
      </w:r>
      <w:r w:rsidRPr="006B671E">
        <w:rPr>
          <w:bCs/>
          <w:snapToGrid w:val="0"/>
          <w:sz w:val="20"/>
          <w:lang w:val="en-US"/>
        </w:rPr>
        <w:t>, ANZ Bank</w:t>
      </w:r>
      <w:r w:rsidRPr="006B671E">
        <w:rPr>
          <w:bCs/>
          <w:snapToGrid w:val="0"/>
          <w:sz w:val="20"/>
          <w:lang w:val="en-US"/>
        </w:rPr>
        <w:br/>
        <w:t>SUE IRONSIDE, Director, Ironside McDonald Intellectual Property</w:t>
      </w:r>
      <w:r w:rsidRPr="006B671E">
        <w:rPr>
          <w:bCs/>
          <w:snapToGrid w:val="0"/>
          <w:sz w:val="20"/>
          <w:lang w:val="en-US"/>
        </w:rPr>
        <w:br/>
        <w:t>MIKE RILEY, Managing Partner, Cress Global</w:t>
      </w:r>
      <w:r w:rsidR="005F61F1">
        <w:rPr>
          <w:bCs/>
          <w:snapToGrid w:val="0"/>
          <w:sz w:val="20"/>
          <w:lang w:val="en-US"/>
        </w:rPr>
        <w:br/>
        <w:t>JONATHAN REID, CEO, VMG Ventures</w:t>
      </w:r>
    </w:p>
    <w:bookmarkEnd w:id="0"/>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33C06F91" w:rsidR="00B11FD4" w:rsidRPr="00B11FD4" w:rsidRDefault="00B11FD4" w:rsidP="00B11FD4">
      <w:pPr>
        <w:rPr>
          <w:sz w:val="20"/>
          <w:szCs w:val="20"/>
        </w:rPr>
      </w:pPr>
      <w:r w:rsidRPr="00B11FD4">
        <w:rPr>
          <w:sz w:val="20"/>
          <w:szCs w:val="20"/>
        </w:rPr>
        <w:t xml:space="preserve">1. </w:t>
      </w:r>
      <w:r w:rsidR="005F61F1">
        <w:rPr>
          <w:sz w:val="20"/>
          <w:szCs w:val="20"/>
        </w:rPr>
        <w:t>20</w:t>
      </w:r>
      <w:r w:rsidRPr="00B11FD4">
        <w:rPr>
          <w:sz w:val="20"/>
          <w:szCs w:val="20"/>
        </w:rPr>
        <w:t xml:space="preserve"> </w:t>
      </w:r>
      <w:r w:rsidR="00B54581">
        <w:rPr>
          <w:sz w:val="20"/>
          <w:szCs w:val="20"/>
        </w:rPr>
        <w:t>March</w:t>
      </w:r>
      <w:r w:rsidRPr="00B11FD4">
        <w:rPr>
          <w:sz w:val="20"/>
          <w:szCs w:val="20"/>
        </w:rPr>
        <w:t xml:space="preserve"> entries open</w:t>
      </w:r>
    </w:p>
    <w:p w14:paraId="0ECD8C13" w14:textId="1CA255FA" w:rsidR="00B11FD4" w:rsidRPr="00B11FD4" w:rsidRDefault="00B11FD4" w:rsidP="00B11FD4">
      <w:pPr>
        <w:rPr>
          <w:sz w:val="20"/>
          <w:szCs w:val="20"/>
        </w:rPr>
      </w:pPr>
      <w:r w:rsidRPr="00B11FD4">
        <w:rPr>
          <w:sz w:val="20"/>
          <w:szCs w:val="20"/>
        </w:rPr>
        <w:t xml:space="preserve">2. </w:t>
      </w:r>
      <w:r w:rsidR="00606C17">
        <w:rPr>
          <w:sz w:val="20"/>
          <w:szCs w:val="20"/>
        </w:rPr>
        <w:t>30</w:t>
      </w:r>
      <w:r w:rsidRPr="00B11FD4">
        <w:rPr>
          <w:sz w:val="20"/>
          <w:szCs w:val="20"/>
        </w:rPr>
        <w:t xml:space="preserve"> </w:t>
      </w:r>
      <w:r w:rsidR="00606C17">
        <w:rPr>
          <w:sz w:val="20"/>
          <w:szCs w:val="20"/>
        </w:rPr>
        <w:t>May</w:t>
      </w:r>
      <w:r w:rsidRPr="00B11FD4">
        <w:rPr>
          <w:sz w:val="20"/>
          <w:szCs w:val="20"/>
        </w:rPr>
        <w:t xml:space="preserve"> applications close</w:t>
      </w:r>
    </w:p>
    <w:p w14:paraId="103FDA52" w14:textId="07A88E6F" w:rsidR="00B11FD4" w:rsidRPr="00B11FD4" w:rsidRDefault="00B11FD4" w:rsidP="00B11FD4">
      <w:pPr>
        <w:rPr>
          <w:sz w:val="20"/>
          <w:szCs w:val="20"/>
        </w:rPr>
      </w:pPr>
      <w:r w:rsidRPr="00B11FD4">
        <w:rPr>
          <w:sz w:val="20"/>
          <w:szCs w:val="20"/>
        </w:rPr>
        <w:t xml:space="preserve">3. </w:t>
      </w:r>
      <w:bookmarkStart w:id="2" w:name="_Hlk162078613"/>
      <w:r w:rsidRPr="00B11FD4">
        <w:rPr>
          <w:sz w:val="20"/>
          <w:szCs w:val="20"/>
        </w:rPr>
        <w:t xml:space="preserve">Week of 26 </w:t>
      </w:r>
      <w:r w:rsidR="00606C17">
        <w:rPr>
          <w:sz w:val="20"/>
          <w:szCs w:val="20"/>
        </w:rPr>
        <w:t>J</w:t>
      </w:r>
      <w:r w:rsidR="00964E25">
        <w:rPr>
          <w:sz w:val="20"/>
          <w:szCs w:val="20"/>
        </w:rPr>
        <w:t>une or week of 3 July</w:t>
      </w:r>
      <w:r w:rsidR="00606C17">
        <w:rPr>
          <w:sz w:val="20"/>
          <w:szCs w:val="20"/>
        </w:rPr>
        <w:t xml:space="preserve"> entrants </w:t>
      </w:r>
      <w:r w:rsidRPr="00B11FD4">
        <w:rPr>
          <w:sz w:val="20"/>
          <w:szCs w:val="20"/>
        </w:rPr>
        <w:t>interviewed by awards judges</w:t>
      </w:r>
      <w:bookmarkEnd w:id="2"/>
    </w:p>
    <w:p w14:paraId="5BC9B0FE" w14:textId="7DA65C10" w:rsidR="00B11FD4" w:rsidRPr="00B11FD4" w:rsidRDefault="00606C17" w:rsidP="00B11FD4">
      <w:pPr>
        <w:rPr>
          <w:sz w:val="20"/>
          <w:szCs w:val="20"/>
        </w:rPr>
      </w:pPr>
      <w:r>
        <w:rPr>
          <w:sz w:val="20"/>
          <w:szCs w:val="20"/>
        </w:rPr>
        <w:t>4</w:t>
      </w:r>
      <w:r w:rsidR="00B11FD4" w:rsidRPr="00B11FD4">
        <w:rPr>
          <w:sz w:val="20"/>
          <w:szCs w:val="20"/>
        </w:rPr>
        <w:t>.</w:t>
      </w:r>
      <w:r w:rsidR="00B54581">
        <w:rPr>
          <w:sz w:val="20"/>
          <w:szCs w:val="20"/>
        </w:rPr>
        <w:t xml:space="preserve"> 15</w:t>
      </w:r>
      <w:r w:rsidR="00B11FD4" w:rsidRPr="00B11FD4">
        <w:rPr>
          <w:sz w:val="20"/>
          <w:szCs w:val="20"/>
        </w:rPr>
        <w:t xml:space="preserve"> August Awards dinner in Auckland.</w:t>
      </w:r>
    </w:p>
    <w:bookmarkEnd w:id="1"/>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52E9DC84"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606C17">
        <w:rPr>
          <w:sz w:val="20"/>
          <w:szCs w:val="20"/>
        </w:rPr>
        <w:t>2</w:t>
      </w:r>
      <w:r w:rsidRPr="00B11FD4">
        <w:rPr>
          <w:sz w:val="20"/>
          <w:szCs w:val="20"/>
        </w:rPr>
        <w:t xml:space="preserve"> months from 1 June 202</w:t>
      </w:r>
      <w:r w:rsidR="00B54581">
        <w:rPr>
          <w:sz w:val="20"/>
          <w:szCs w:val="20"/>
        </w:rPr>
        <w:t>4</w:t>
      </w:r>
      <w:r w:rsidRPr="00B11FD4">
        <w:rPr>
          <w:sz w:val="20"/>
          <w:szCs w:val="20"/>
        </w:rPr>
        <w:t>.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2220907C" w14:textId="6553664A" w:rsidR="009803C1" w:rsidRPr="009803C1" w:rsidRDefault="009803C1" w:rsidP="009803C1">
      <w:pPr>
        <w:rPr>
          <w:sz w:val="20"/>
          <w:szCs w:val="20"/>
        </w:rPr>
      </w:pPr>
      <w:r w:rsidRPr="009803C1">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9803C1">
        <w:rPr>
          <w:sz w:val="20"/>
          <w:szCs w:val="20"/>
        </w:rPr>
        <w:t xml:space="preserve"> a demonstrated commitment to corporate citizenship</w:t>
      </w:r>
      <w:r>
        <w:rPr>
          <w:sz w:val="20"/>
          <w:szCs w:val="20"/>
        </w:rPr>
        <w:t>, and a c</w:t>
      </w:r>
      <w:r w:rsidRPr="009803C1">
        <w:rPr>
          <w:sz w:val="20"/>
          <w:szCs w:val="20"/>
        </w:rPr>
        <w:t xml:space="preserve">ommitment to sustainability/carbon reduction and other stakeholder initiatives. </w:t>
      </w:r>
    </w:p>
    <w:p w14:paraId="390FF8B6" w14:textId="3EC16784" w:rsidR="00F025F8" w:rsidRPr="00503A5F" w:rsidRDefault="00D26584" w:rsidP="00F025F8">
      <w:pPr>
        <w:rPr>
          <w:sz w:val="20"/>
          <w:szCs w:val="20"/>
        </w:rPr>
      </w:pPr>
      <w:r w:rsidRPr="00D26584">
        <w:rPr>
          <w:sz w:val="20"/>
          <w:szCs w:val="20"/>
        </w:rPr>
        <w:t xml:space="preserve">This year we require </w:t>
      </w:r>
      <w:r>
        <w:rPr>
          <w:sz w:val="20"/>
          <w:szCs w:val="20"/>
        </w:rPr>
        <w:t xml:space="preserve">entrants </w:t>
      </w:r>
      <w:r w:rsidRPr="00D26584">
        <w:rPr>
          <w:sz w:val="20"/>
          <w:szCs w:val="20"/>
        </w:rPr>
        <w:t xml:space="preserve">to submit a </w:t>
      </w:r>
      <w:r w:rsidR="001664DB" w:rsidRPr="00D26584">
        <w:rPr>
          <w:sz w:val="20"/>
          <w:szCs w:val="20"/>
        </w:rPr>
        <w:t>3–5-minute</w:t>
      </w:r>
      <w:r w:rsidRPr="00D26584">
        <w:rPr>
          <w:sz w:val="20"/>
          <w:szCs w:val="20"/>
        </w:rPr>
        <w:t xml:space="preserve"> video elevator pitch </w:t>
      </w:r>
      <w:r w:rsidR="009803C1" w:rsidRPr="009803C1">
        <w:rPr>
          <w:sz w:val="20"/>
          <w:szCs w:val="20"/>
        </w:rPr>
        <w:t xml:space="preserve">outlining the significant contributions you have made to strengthening ties between New Zealand and the United States. The contributions can have been made in any field that complements the deep political and economic ties between the two countries including education, science, research, culture, arts, sports and other sectors.  Please provide as much information as you can that will give the judges a clear picture of your contributions.  </w:t>
      </w:r>
    </w:p>
    <w:p w14:paraId="2B44DCD4" w14:textId="6F8B113D" w:rsidR="009803C1" w:rsidRDefault="009803C1" w:rsidP="00F025F8">
      <w:pPr>
        <w:rPr>
          <w:sz w:val="20"/>
          <w:szCs w:val="20"/>
        </w:rPr>
      </w:pPr>
      <w:r w:rsidRPr="009803C1">
        <w:rPr>
          <w:sz w:val="20"/>
          <w:szCs w:val="20"/>
        </w:rPr>
        <w:t>Companies, organisations or individuals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2ECA5BCC"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31F881CD" w:rsid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w:t>
      </w:r>
      <w:r w:rsidR="00606C17">
        <w:rPr>
          <w:sz w:val="20"/>
          <w:szCs w:val="20"/>
        </w:rPr>
        <w:t xml:space="preserve">30 May </w:t>
      </w:r>
      <w:r w:rsidR="00B11FD4" w:rsidRPr="00B11FD4">
        <w:rPr>
          <w:sz w:val="20"/>
          <w:szCs w:val="20"/>
        </w:rPr>
        <w:t>202</w:t>
      </w:r>
      <w:r w:rsidR="00B54581">
        <w:rPr>
          <w:sz w:val="20"/>
          <w:szCs w:val="20"/>
        </w:rPr>
        <w:t>4</w:t>
      </w:r>
      <w:r w:rsidR="00B11FD4" w:rsidRPr="00B11FD4">
        <w:rPr>
          <w:sz w:val="20"/>
          <w:szCs w:val="20"/>
        </w:rPr>
        <w:t>.</w:t>
      </w:r>
    </w:p>
    <w:p w14:paraId="78CF9FF4" w14:textId="77777777" w:rsidR="00606C17" w:rsidRDefault="00606C17" w:rsidP="00B11FD4">
      <w:pPr>
        <w:rPr>
          <w:sz w:val="20"/>
          <w:szCs w:val="20"/>
        </w:rPr>
      </w:pPr>
    </w:p>
    <w:p w14:paraId="570DBEEA" w14:textId="77777777" w:rsidR="00C65BCA" w:rsidRPr="00B11FD4" w:rsidRDefault="00C65BCA" w:rsidP="00B11FD4">
      <w:pPr>
        <w:rPr>
          <w:sz w:val="20"/>
          <w:szCs w:val="20"/>
        </w:rPr>
      </w:pP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3600A4C0" w:rsidR="00B11FD4" w:rsidRPr="00B11FD4" w:rsidRDefault="00B11FD4" w:rsidP="00B11FD4">
      <w:pPr>
        <w:rPr>
          <w:sz w:val="20"/>
          <w:szCs w:val="20"/>
        </w:rPr>
      </w:pPr>
      <w:r w:rsidRPr="00B11FD4">
        <w:rPr>
          <w:sz w:val="20"/>
          <w:szCs w:val="20"/>
        </w:rPr>
        <w:t xml:space="preserve">The awards will be presented at a dinner ceremony on </w:t>
      </w:r>
      <w:r w:rsidR="00B54581">
        <w:rPr>
          <w:sz w:val="20"/>
          <w:szCs w:val="20"/>
        </w:rPr>
        <w:t>15</w:t>
      </w:r>
      <w:r w:rsidRPr="00B11FD4">
        <w:rPr>
          <w:sz w:val="20"/>
          <w:szCs w:val="20"/>
        </w:rPr>
        <w:t xml:space="preserve">th </w:t>
      </w:r>
      <w:r w:rsidR="00606C17">
        <w:rPr>
          <w:sz w:val="20"/>
          <w:szCs w:val="20"/>
        </w:rPr>
        <w:t xml:space="preserve">August </w:t>
      </w:r>
      <w:r w:rsidRPr="00B11FD4">
        <w:rPr>
          <w:sz w:val="20"/>
          <w:szCs w:val="20"/>
        </w:rPr>
        <w:t>202</w:t>
      </w:r>
      <w:r w:rsidR="00B54581">
        <w:rPr>
          <w:sz w:val="20"/>
          <w:szCs w:val="20"/>
        </w:rPr>
        <w:t>4</w:t>
      </w:r>
      <w:r w:rsidR="00964E25">
        <w:rPr>
          <w:sz w:val="20"/>
          <w:szCs w:val="20"/>
        </w:rPr>
        <w:t xml:space="preserve"> </w:t>
      </w:r>
      <w:r w:rsidR="00287A6D">
        <w:rPr>
          <w:sz w:val="20"/>
          <w:szCs w:val="20"/>
        </w:rPr>
        <w:t>in Auckland</w:t>
      </w:r>
      <w:r w:rsidR="001664DB" w:rsidRPr="00B11FD4">
        <w:rPr>
          <w:sz w:val="20"/>
          <w:szCs w:val="20"/>
        </w:rPr>
        <w:t xml:space="preserve">. </w:t>
      </w:r>
      <w:r w:rsidRPr="00B11FD4">
        <w:rPr>
          <w:sz w:val="20"/>
          <w:szCs w:val="20"/>
        </w:rPr>
        <w:t>Tickets cost $2</w:t>
      </w:r>
      <w:r w:rsidR="00606C17">
        <w:rPr>
          <w:sz w:val="20"/>
          <w:szCs w:val="20"/>
        </w:rPr>
        <w:t>7</w:t>
      </w:r>
      <w:r w:rsidRPr="00B11FD4">
        <w:rPr>
          <w:sz w:val="20"/>
          <w:szCs w:val="20"/>
        </w:rPr>
        <w:t>5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1AAD92B3"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606C17">
        <w:rPr>
          <w:sz w:val="20"/>
          <w:szCs w:val="20"/>
        </w:rPr>
        <w:t>30 July</w:t>
      </w:r>
      <w:r w:rsidR="00EF7454" w:rsidRPr="00EF7454">
        <w:rPr>
          <w:sz w:val="20"/>
          <w:szCs w:val="20"/>
        </w:rPr>
        <w:t xml:space="preserve"> 20</w:t>
      </w:r>
      <w:r w:rsidR="00B11FD4">
        <w:rPr>
          <w:sz w:val="20"/>
          <w:szCs w:val="20"/>
        </w:rPr>
        <w:t>2</w:t>
      </w:r>
      <w:r w:rsidR="00B54581">
        <w:rPr>
          <w:sz w:val="20"/>
          <w:szCs w:val="20"/>
        </w:rPr>
        <w:t>5</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3" w:name="OLE_LINK2"/>
      <w:bookmarkStart w:id="4"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6954D965" w14:textId="77777777" w:rsidTr="00A26126">
        <w:tc>
          <w:tcPr>
            <w:tcW w:w="4508" w:type="dxa"/>
          </w:tcPr>
          <w:p w14:paraId="50842413" w14:textId="3CBBCED6"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4C7E3B08" w:rsidR="00287A6D" w:rsidRPr="00287A6D" w:rsidRDefault="00606C17" w:rsidP="00287A6D">
            <w:pPr>
              <w:rPr>
                <w:rFonts w:eastAsia="Times New Roman" w:cstheme="minorHAnsi"/>
                <w:b/>
                <w:bCs/>
                <w:snapToGrid w:val="0"/>
                <w:color w:val="000000"/>
                <w:sz w:val="20"/>
                <w:szCs w:val="20"/>
                <w:lang w:val="en-US"/>
              </w:rPr>
            </w:pPr>
            <w:r>
              <w:rPr>
                <w:b/>
                <w:bCs/>
                <w:sz w:val="20"/>
                <w:szCs w:val="20"/>
              </w:rPr>
              <w:t xml:space="preserve">Contribution to Tourism with </w:t>
            </w:r>
            <w:r w:rsidR="00287A6D" w:rsidRPr="00287A6D">
              <w:rPr>
                <w:b/>
                <w:bCs/>
                <w:sz w:val="20"/>
                <w:szCs w:val="20"/>
              </w:rPr>
              <w:t xml:space="preserve">the </w:t>
            </w:r>
            <w:r>
              <w:rPr>
                <w:b/>
                <w:bCs/>
                <w:sz w:val="20"/>
                <w:szCs w:val="20"/>
              </w:rPr>
              <w:t>USA</w:t>
            </w:r>
            <w:r w:rsidR="00287A6D"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3"/>
    <w:bookmarkEnd w:id="4"/>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rsidSect="003E5CDD">
      <w:head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F7B8" w14:textId="77777777" w:rsidR="00CB7589" w:rsidRDefault="00CB7589" w:rsidP="00CB24F0">
      <w:pPr>
        <w:spacing w:after="0" w:line="240" w:lineRule="auto"/>
      </w:pPr>
      <w:r>
        <w:separator/>
      </w:r>
    </w:p>
  </w:endnote>
  <w:endnote w:type="continuationSeparator" w:id="0">
    <w:p w14:paraId="15C62DF9" w14:textId="77777777" w:rsidR="00CB7589" w:rsidRDefault="00CB7589"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0BF1" w14:textId="77777777" w:rsidR="00CB7589" w:rsidRDefault="00CB7589" w:rsidP="00CB24F0">
      <w:pPr>
        <w:spacing w:after="0" w:line="240" w:lineRule="auto"/>
      </w:pPr>
      <w:r>
        <w:separator/>
      </w:r>
    </w:p>
  </w:footnote>
  <w:footnote w:type="continuationSeparator" w:id="0">
    <w:p w14:paraId="633AA43D" w14:textId="77777777" w:rsidR="00CB7589" w:rsidRDefault="00CB7589"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01A35"/>
    <w:rsid w:val="00020E7D"/>
    <w:rsid w:val="00107697"/>
    <w:rsid w:val="00122D59"/>
    <w:rsid w:val="00135A18"/>
    <w:rsid w:val="001664DB"/>
    <w:rsid w:val="001A0755"/>
    <w:rsid w:val="00225AC1"/>
    <w:rsid w:val="00285130"/>
    <w:rsid w:val="00287A6D"/>
    <w:rsid w:val="0032062B"/>
    <w:rsid w:val="003E5CDD"/>
    <w:rsid w:val="00446EC7"/>
    <w:rsid w:val="004C4A62"/>
    <w:rsid w:val="004D1D5A"/>
    <w:rsid w:val="00503A5F"/>
    <w:rsid w:val="005346DA"/>
    <w:rsid w:val="00542AC7"/>
    <w:rsid w:val="00573AC9"/>
    <w:rsid w:val="005C39B0"/>
    <w:rsid w:val="005F61F1"/>
    <w:rsid w:val="00606C17"/>
    <w:rsid w:val="006B671E"/>
    <w:rsid w:val="007E2009"/>
    <w:rsid w:val="007F4EA8"/>
    <w:rsid w:val="008370A3"/>
    <w:rsid w:val="008A7DC6"/>
    <w:rsid w:val="008D0173"/>
    <w:rsid w:val="008D3B13"/>
    <w:rsid w:val="00964E25"/>
    <w:rsid w:val="009803C1"/>
    <w:rsid w:val="00A26126"/>
    <w:rsid w:val="00A34EF3"/>
    <w:rsid w:val="00AF4A84"/>
    <w:rsid w:val="00B03D40"/>
    <w:rsid w:val="00B11FD4"/>
    <w:rsid w:val="00B54581"/>
    <w:rsid w:val="00B7092B"/>
    <w:rsid w:val="00BF5DA7"/>
    <w:rsid w:val="00C65BCA"/>
    <w:rsid w:val="00C87D51"/>
    <w:rsid w:val="00C93C73"/>
    <w:rsid w:val="00CB24F0"/>
    <w:rsid w:val="00CB7589"/>
    <w:rsid w:val="00CF2815"/>
    <w:rsid w:val="00D26584"/>
    <w:rsid w:val="00DA3919"/>
    <w:rsid w:val="00DD23E0"/>
    <w:rsid w:val="00E02BD8"/>
    <w:rsid w:val="00EA3FA6"/>
    <w:rsid w:val="00EC2F18"/>
    <w:rsid w:val="00EE0A8B"/>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2024-04-19T21:28:00Z</dcterms:created>
  <dcterms:modified xsi:type="dcterms:W3CDTF">2024-04-19T21:28:00Z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503d3ecf7de125f7832b527a10a3449cc3cc24cde9419fe134e02a36570188c6</vt:lpwstr>
  </property>
</Properties>
</file>